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F0DA5" w14:textId="77777777" w:rsidR="00E46971" w:rsidRPr="00E46971" w:rsidRDefault="00E46971" w:rsidP="00E46971">
      <w:pPr>
        <w:widowControl/>
        <w:shd w:val="clear" w:color="auto" w:fill="FFFFFF"/>
        <w:spacing w:line="270" w:lineRule="atLeast"/>
        <w:jc w:val="left"/>
        <w:rPr>
          <w:rFonts w:ascii="微软雅黑" w:eastAsia="微软雅黑" w:hAnsi="微软雅黑" w:cs="宋体"/>
          <w:color w:val="666666"/>
          <w:kern w:val="0"/>
          <w:sz w:val="18"/>
          <w:szCs w:val="18"/>
        </w:rPr>
      </w:pPr>
      <w:r w:rsidRPr="00E46971">
        <w:rPr>
          <w:rFonts w:ascii="仿宋_GB2312" w:eastAsia="仿宋_GB2312" w:hAnsi="微软雅黑" w:cs="宋体" w:hint="eastAsia"/>
          <w:color w:val="666666"/>
          <w:kern w:val="0"/>
          <w:sz w:val="32"/>
          <w:szCs w:val="32"/>
        </w:rPr>
        <w:t>各有关学院：</w:t>
      </w:r>
    </w:p>
    <w:p w14:paraId="3C0B6402" w14:textId="77777777" w:rsidR="00E46971" w:rsidRPr="00E46971" w:rsidRDefault="00E46971" w:rsidP="00E46971">
      <w:pPr>
        <w:widowControl/>
        <w:shd w:val="clear" w:color="auto" w:fill="FFFFFF"/>
        <w:spacing w:line="270" w:lineRule="atLeast"/>
        <w:ind w:firstLine="780"/>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根据山东省学生资助管理中心《关于下达2022年省属高校学生资助资金的通知》（</w:t>
      </w:r>
      <w:proofErr w:type="gramStart"/>
      <w:r w:rsidRPr="00E46971">
        <w:rPr>
          <w:rFonts w:ascii="仿宋_GB2312" w:eastAsia="仿宋_GB2312" w:hAnsi="微软雅黑" w:cs="宋体" w:hint="eastAsia"/>
          <w:color w:val="666666"/>
          <w:kern w:val="0"/>
          <w:sz w:val="32"/>
          <w:szCs w:val="32"/>
        </w:rPr>
        <w:t>鲁学助</w:t>
      </w:r>
      <w:proofErr w:type="gramEnd"/>
      <w:r w:rsidRPr="00E46971">
        <w:rPr>
          <w:rFonts w:ascii="仿宋_GB2312" w:eastAsia="仿宋_GB2312" w:hAnsi="微软雅黑" w:cs="宋体" w:hint="eastAsia"/>
          <w:color w:val="666666"/>
          <w:kern w:val="0"/>
          <w:sz w:val="32"/>
          <w:szCs w:val="32"/>
        </w:rPr>
        <w:t>〔2022〕</w:t>
      </w:r>
      <w:r w:rsidRPr="00E46971">
        <w:rPr>
          <w:rFonts w:ascii="仿宋_GB2312" w:eastAsia="仿宋_GB2312" w:hAnsi="微软雅黑" w:cs="宋体" w:hint="eastAsia"/>
          <w:color w:val="666666"/>
          <w:kern w:val="0"/>
          <w:sz w:val="32"/>
          <w:szCs w:val="32"/>
        </w:rPr>
        <w:t> </w:t>
      </w:r>
      <w:r w:rsidRPr="00E46971">
        <w:rPr>
          <w:rFonts w:ascii="仿宋_GB2312" w:eastAsia="仿宋_GB2312" w:hAnsi="微软雅黑" w:cs="宋体" w:hint="eastAsia"/>
          <w:color w:val="666666"/>
          <w:kern w:val="0"/>
          <w:sz w:val="32"/>
          <w:szCs w:val="32"/>
        </w:rPr>
        <w:t>25号）、山东省财政厅、山东省教育厅等5部门《关于印发山东省学生资助资金管理办法的通知》（</w:t>
      </w:r>
      <w:proofErr w:type="gramStart"/>
      <w:r w:rsidRPr="00E46971">
        <w:rPr>
          <w:rFonts w:ascii="仿宋_GB2312" w:eastAsia="仿宋_GB2312" w:hAnsi="微软雅黑" w:cs="宋体" w:hint="eastAsia"/>
          <w:color w:val="666666"/>
          <w:kern w:val="0"/>
          <w:sz w:val="32"/>
          <w:szCs w:val="32"/>
        </w:rPr>
        <w:t>鲁教财函</w:t>
      </w:r>
      <w:proofErr w:type="gramEnd"/>
      <w:r w:rsidRPr="00E46971">
        <w:rPr>
          <w:rFonts w:ascii="仿宋_GB2312" w:eastAsia="仿宋_GB2312" w:hAnsi="微软雅黑" w:cs="宋体" w:hint="eastAsia"/>
          <w:color w:val="666666"/>
          <w:kern w:val="0"/>
          <w:sz w:val="32"/>
          <w:szCs w:val="32"/>
        </w:rPr>
        <w:t>〔2020〕</w:t>
      </w:r>
      <w:r w:rsidRPr="00E46971">
        <w:rPr>
          <w:rFonts w:ascii="仿宋_GB2312" w:eastAsia="仿宋_GB2312" w:hAnsi="微软雅黑" w:cs="宋体" w:hint="eastAsia"/>
          <w:color w:val="0000FF"/>
          <w:kern w:val="0"/>
          <w:sz w:val="32"/>
          <w:szCs w:val="32"/>
        </w:rPr>
        <w:t> </w:t>
      </w:r>
      <w:r w:rsidRPr="00E46971">
        <w:rPr>
          <w:rFonts w:ascii="仿宋_GB2312" w:eastAsia="仿宋_GB2312" w:hAnsi="微软雅黑" w:cs="宋体" w:hint="eastAsia"/>
          <w:color w:val="666666"/>
          <w:kern w:val="0"/>
          <w:sz w:val="32"/>
          <w:szCs w:val="32"/>
        </w:rPr>
        <w:t>15号）、山东省教育厅《关于开展2022年奖学金评审和材料报送工作的通知》（</w:t>
      </w:r>
      <w:proofErr w:type="gramStart"/>
      <w:r w:rsidRPr="00E46971">
        <w:rPr>
          <w:rFonts w:ascii="仿宋_GB2312" w:eastAsia="仿宋_GB2312" w:hAnsi="微软雅黑" w:cs="宋体" w:hint="eastAsia"/>
          <w:color w:val="666666"/>
          <w:kern w:val="0"/>
          <w:sz w:val="32"/>
          <w:szCs w:val="32"/>
        </w:rPr>
        <w:t>鲁教财函</w:t>
      </w:r>
      <w:proofErr w:type="gramEnd"/>
      <w:r w:rsidRPr="00E46971">
        <w:rPr>
          <w:rFonts w:ascii="仿宋_GB2312" w:eastAsia="仿宋_GB2312" w:hAnsi="微软雅黑" w:cs="宋体" w:hint="eastAsia"/>
          <w:color w:val="666666"/>
          <w:kern w:val="0"/>
          <w:sz w:val="32"/>
          <w:szCs w:val="32"/>
        </w:rPr>
        <w:t>〔2022〕91号）、《青岛农业大学研究生奖助学金管理办法（修订）》（青农大校字〔2021〕162号），为做好我校2022年研究生学业奖学金评选工作，现将有关事项通知如下：</w:t>
      </w:r>
    </w:p>
    <w:p w14:paraId="1C087E3D" w14:textId="77777777" w:rsidR="00E46971" w:rsidRPr="00E46971" w:rsidRDefault="00E46971" w:rsidP="00E46971">
      <w:pPr>
        <w:widowControl/>
        <w:shd w:val="clear" w:color="auto" w:fill="FFFFFF"/>
        <w:spacing w:line="270" w:lineRule="atLeast"/>
        <w:ind w:firstLine="720"/>
        <w:jc w:val="left"/>
        <w:rPr>
          <w:rFonts w:ascii="微软雅黑" w:eastAsia="微软雅黑" w:hAnsi="微软雅黑" w:cs="宋体" w:hint="eastAsia"/>
          <w:color w:val="666666"/>
          <w:kern w:val="0"/>
          <w:sz w:val="18"/>
          <w:szCs w:val="18"/>
        </w:rPr>
      </w:pPr>
      <w:r w:rsidRPr="00E46971">
        <w:rPr>
          <w:rFonts w:ascii="黑体" w:eastAsia="黑体" w:hAnsi="黑体" w:cs="宋体" w:hint="eastAsia"/>
          <w:color w:val="666666"/>
          <w:kern w:val="0"/>
          <w:sz w:val="32"/>
          <w:szCs w:val="32"/>
        </w:rPr>
        <w:t>一、研究生学业奖学金的评选</w:t>
      </w:r>
    </w:p>
    <w:p w14:paraId="0CDFB804" w14:textId="77777777" w:rsidR="00E46971" w:rsidRPr="00E46971" w:rsidRDefault="00E46971" w:rsidP="00E46971">
      <w:pPr>
        <w:widowControl/>
        <w:shd w:val="clear" w:color="auto" w:fill="FFFFFF"/>
        <w:spacing w:line="270" w:lineRule="atLeast"/>
        <w:ind w:firstLine="570"/>
        <w:jc w:val="left"/>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（一）评选范围</w:t>
      </w:r>
    </w:p>
    <w:p w14:paraId="7DA31A5C"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全日制非定向研究生（不包括保留学籍、休学、延期毕业和在纪律处分期限内的研究生）。</w:t>
      </w:r>
    </w:p>
    <w:p w14:paraId="7537425D" w14:textId="77777777" w:rsidR="00E46971" w:rsidRPr="00E46971" w:rsidRDefault="00E46971" w:rsidP="00E46971">
      <w:pPr>
        <w:widowControl/>
        <w:shd w:val="clear" w:color="auto" w:fill="FFFFFF"/>
        <w:spacing w:line="270" w:lineRule="atLeast"/>
        <w:ind w:firstLine="570"/>
        <w:jc w:val="left"/>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（二）申报条件</w:t>
      </w:r>
    </w:p>
    <w:p w14:paraId="63F9EF3B"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1.热爱社会主义祖国，拥护中国共产党的领导；</w:t>
      </w:r>
    </w:p>
    <w:p w14:paraId="065B979C"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2.遵守国家有关法律和学校的规章制度，未在纪律处分期限内；</w:t>
      </w:r>
    </w:p>
    <w:p w14:paraId="02D3E1BD"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3.勤奋学习，积极主动进行科学研究。</w:t>
      </w:r>
    </w:p>
    <w:p w14:paraId="1587CDA1"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（三）奖励设置及名额分配</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863"/>
        <w:gridCol w:w="1006"/>
        <w:gridCol w:w="2413"/>
        <w:gridCol w:w="1634"/>
        <w:gridCol w:w="1374"/>
      </w:tblGrid>
      <w:tr w:rsidR="00E46971" w:rsidRPr="00E46971" w14:paraId="1C0BE2A6" w14:textId="77777777" w:rsidTr="00E46971">
        <w:tc>
          <w:tcPr>
            <w:tcW w:w="207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15E85549"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研究生类别</w:t>
            </w:r>
          </w:p>
        </w:tc>
        <w:tc>
          <w:tcPr>
            <w:tcW w:w="108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0D1C9A0E"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等级</w:t>
            </w:r>
          </w:p>
        </w:tc>
        <w:tc>
          <w:tcPr>
            <w:tcW w:w="26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1D4EB7F8"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标准（元/生/年）</w:t>
            </w:r>
          </w:p>
        </w:tc>
        <w:tc>
          <w:tcPr>
            <w:tcW w:w="17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6FF4775D"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年级</w:t>
            </w:r>
          </w:p>
        </w:tc>
        <w:tc>
          <w:tcPr>
            <w:tcW w:w="14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10941590"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比例</w:t>
            </w:r>
          </w:p>
        </w:tc>
      </w:tr>
      <w:tr w:rsidR="00E46971" w:rsidRPr="00E46971" w14:paraId="6EFD0AF5" w14:textId="77777777" w:rsidTr="00E46971">
        <w:tc>
          <w:tcPr>
            <w:tcW w:w="2070" w:type="dxa"/>
            <w:vMerge w:val="restar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0F02A9AA"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lastRenderedPageBreak/>
              <w:t>硕士</w:t>
            </w:r>
          </w:p>
        </w:tc>
        <w:tc>
          <w:tcPr>
            <w:tcW w:w="108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74338A70"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一等</w:t>
            </w:r>
          </w:p>
        </w:tc>
        <w:tc>
          <w:tcPr>
            <w:tcW w:w="26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7852E6EA"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5000</w:t>
            </w:r>
          </w:p>
        </w:tc>
        <w:tc>
          <w:tcPr>
            <w:tcW w:w="17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1F71A582"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全部</w:t>
            </w:r>
          </w:p>
        </w:tc>
        <w:tc>
          <w:tcPr>
            <w:tcW w:w="14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65E72180"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10%</w:t>
            </w:r>
          </w:p>
        </w:tc>
      </w:tr>
      <w:tr w:rsidR="00E46971" w:rsidRPr="00E46971" w14:paraId="4A13B0E6" w14:textId="77777777" w:rsidTr="00E46971">
        <w:tc>
          <w:tcPr>
            <w:tcW w:w="0" w:type="auto"/>
            <w:vMerge/>
            <w:tcBorders>
              <w:top w:val="nil"/>
              <w:left w:val="single" w:sz="6" w:space="0" w:color="auto"/>
              <w:bottom w:val="single" w:sz="6" w:space="0" w:color="auto"/>
              <w:right w:val="single" w:sz="6" w:space="0" w:color="auto"/>
            </w:tcBorders>
            <w:shd w:val="clear" w:color="auto" w:fill="FFFFFF"/>
            <w:vAlign w:val="center"/>
            <w:hideMark/>
          </w:tcPr>
          <w:p w14:paraId="7C9A4293" w14:textId="77777777" w:rsidR="00E46971" w:rsidRPr="00E46971" w:rsidRDefault="00E46971" w:rsidP="00E46971">
            <w:pPr>
              <w:widowControl/>
              <w:jc w:val="left"/>
              <w:rPr>
                <w:rFonts w:ascii="微软雅黑" w:eastAsia="微软雅黑" w:hAnsi="微软雅黑" w:cs="宋体"/>
                <w:color w:val="666666"/>
                <w:kern w:val="0"/>
                <w:sz w:val="18"/>
                <w:szCs w:val="18"/>
              </w:rPr>
            </w:pPr>
          </w:p>
        </w:tc>
        <w:tc>
          <w:tcPr>
            <w:tcW w:w="108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44F8FF0F"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二等</w:t>
            </w:r>
          </w:p>
        </w:tc>
        <w:tc>
          <w:tcPr>
            <w:tcW w:w="26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1F5DAD74"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3000</w:t>
            </w:r>
          </w:p>
        </w:tc>
        <w:tc>
          <w:tcPr>
            <w:tcW w:w="17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67D40E29"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全部</w:t>
            </w:r>
          </w:p>
        </w:tc>
        <w:tc>
          <w:tcPr>
            <w:tcW w:w="14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4D301EA0"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20%</w:t>
            </w:r>
          </w:p>
        </w:tc>
      </w:tr>
      <w:tr w:rsidR="00E46971" w:rsidRPr="00E46971" w14:paraId="36D266D9" w14:textId="77777777" w:rsidTr="00E46971">
        <w:tc>
          <w:tcPr>
            <w:tcW w:w="0" w:type="auto"/>
            <w:vMerge/>
            <w:tcBorders>
              <w:top w:val="nil"/>
              <w:left w:val="single" w:sz="6" w:space="0" w:color="auto"/>
              <w:bottom w:val="single" w:sz="6" w:space="0" w:color="auto"/>
              <w:right w:val="single" w:sz="6" w:space="0" w:color="auto"/>
            </w:tcBorders>
            <w:shd w:val="clear" w:color="auto" w:fill="FFFFFF"/>
            <w:vAlign w:val="center"/>
            <w:hideMark/>
          </w:tcPr>
          <w:p w14:paraId="70763A0C" w14:textId="77777777" w:rsidR="00E46971" w:rsidRPr="00E46971" w:rsidRDefault="00E46971" w:rsidP="00E46971">
            <w:pPr>
              <w:widowControl/>
              <w:jc w:val="left"/>
              <w:rPr>
                <w:rFonts w:ascii="微软雅黑" w:eastAsia="微软雅黑" w:hAnsi="微软雅黑" w:cs="宋体"/>
                <w:color w:val="666666"/>
                <w:kern w:val="0"/>
                <w:sz w:val="18"/>
                <w:szCs w:val="18"/>
              </w:rPr>
            </w:pPr>
          </w:p>
        </w:tc>
        <w:tc>
          <w:tcPr>
            <w:tcW w:w="108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029DDE0B"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三等</w:t>
            </w:r>
          </w:p>
        </w:tc>
        <w:tc>
          <w:tcPr>
            <w:tcW w:w="26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7D5BECE3"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2000</w:t>
            </w:r>
          </w:p>
        </w:tc>
        <w:tc>
          <w:tcPr>
            <w:tcW w:w="17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4A9BB6B4"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全部</w:t>
            </w:r>
          </w:p>
        </w:tc>
        <w:tc>
          <w:tcPr>
            <w:tcW w:w="14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52BCFA12"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70%</w:t>
            </w:r>
          </w:p>
        </w:tc>
      </w:tr>
      <w:tr w:rsidR="00E46971" w:rsidRPr="00E46971" w14:paraId="1B9AE12D" w14:textId="77777777" w:rsidTr="00E46971">
        <w:tc>
          <w:tcPr>
            <w:tcW w:w="2070" w:type="dxa"/>
            <w:vMerge w:val="restar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40C0524C"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博士</w:t>
            </w:r>
          </w:p>
        </w:tc>
        <w:tc>
          <w:tcPr>
            <w:tcW w:w="1080" w:type="dxa"/>
            <w:vMerge w:val="restar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2D2201AE"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一等</w:t>
            </w:r>
          </w:p>
        </w:tc>
        <w:tc>
          <w:tcPr>
            <w:tcW w:w="2655" w:type="dxa"/>
            <w:vMerge w:val="restart"/>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0CA74269"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8000</w:t>
            </w:r>
          </w:p>
        </w:tc>
        <w:tc>
          <w:tcPr>
            <w:tcW w:w="17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07AB7397"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proofErr w:type="gramStart"/>
            <w:r w:rsidRPr="00E46971">
              <w:rPr>
                <w:rFonts w:ascii="楷体" w:eastAsia="楷体" w:hAnsi="楷体" w:cs="宋体" w:hint="eastAsia"/>
                <w:color w:val="666666"/>
                <w:kern w:val="0"/>
                <w:sz w:val="32"/>
                <w:szCs w:val="32"/>
              </w:rPr>
              <w:t>一</w:t>
            </w:r>
            <w:proofErr w:type="gramEnd"/>
          </w:p>
        </w:tc>
        <w:tc>
          <w:tcPr>
            <w:tcW w:w="14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577E193B"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100%</w:t>
            </w:r>
          </w:p>
        </w:tc>
      </w:tr>
      <w:tr w:rsidR="00E46971" w:rsidRPr="00E46971" w14:paraId="0380BC89" w14:textId="77777777" w:rsidTr="00E46971">
        <w:tc>
          <w:tcPr>
            <w:tcW w:w="0" w:type="auto"/>
            <w:vMerge/>
            <w:tcBorders>
              <w:top w:val="nil"/>
              <w:left w:val="single" w:sz="6" w:space="0" w:color="auto"/>
              <w:bottom w:val="single" w:sz="6" w:space="0" w:color="auto"/>
              <w:right w:val="single" w:sz="6" w:space="0" w:color="auto"/>
            </w:tcBorders>
            <w:shd w:val="clear" w:color="auto" w:fill="FFFFFF"/>
            <w:vAlign w:val="center"/>
            <w:hideMark/>
          </w:tcPr>
          <w:p w14:paraId="1FBD2EAD" w14:textId="77777777" w:rsidR="00E46971" w:rsidRPr="00E46971" w:rsidRDefault="00E46971" w:rsidP="00E46971">
            <w:pPr>
              <w:widowControl/>
              <w:jc w:val="left"/>
              <w:rPr>
                <w:rFonts w:ascii="微软雅黑" w:eastAsia="微软雅黑" w:hAnsi="微软雅黑" w:cs="宋体"/>
                <w:color w:val="666666"/>
                <w:kern w:val="0"/>
                <w:sz w:val="18"/>
                <w:szCs w:val="18"/>
              </w:rPr>
            </w:pPr>
          </w:p>
        </w:tc>
        <w:tc>
          <w:tcPr>
            <w:tcW w:w="0" w:type="auto"/>
            <w:vMerge/>
            <w:tcBorders>
              <w:top w:val="nil"/>
              <w:left w:val="single" w:sz="6" w:space="0" w:color="auto"/>
              <w:bottom w:val="single" w:sz="6" w:space="0" w:color="auto"/>
              <w:right w:val="single" w:sz="6" w:space="0" w:color="auto"/>
            </w:tcBorders>
            <w:shd w:val="clear" w:color="auto" w:fill="FFFFFF"/>
            <w:vAlign w:val="center"/>
            <w:hideMark/>
          </w:tcPr>
          <w:p w14:paraId="37B46695" w14:textId="77777777" w:rsidR="00E46971" w:rsidRPr="00E46971" w:rsidRDefault="00E46971" w:rsidP="00E46971">
            <w:pPr>
              <w:widowControl/>
              <w:jc w:val="left"/>
              <w:rPr>
                <w:rFonts w:ascii="微软雅黑" w:eastAsia="微软雅黑" w:hAnsi="微软雅黑" w:cs="宋体"/>
                <w:color w:val="666666"/>
                <w:kern w:val="0"/>
                <w:sz w:val="18"/>
                <w:szCs w:val="18"/>
              </w:rPr>
            </w:pPr>
          </w:p>
        </w:tc>
        <w:tc>
          <w:tcPr>
            <w:tcW w:w="0" w:type="auto"/>
            <w:vMerge/>
            <w:tcBorders>
              <w:top w:val="nil"/>
              <w:left w:val="single" w:sz="6" w:space="0" w:color="auto"/>
              <w:bottom w:val="single" w:sz="6" w:space="0" w:color="auto"/>
              <w:right w:val="single" w:sz="6" w:space="0" w:color="auto"/>
            </w:tcBorders>
            <w:shd w:val="clear" w:color="auto" w:fill="FFFFFF"/>
            <w:vAlign w:val="center"/>
            <w:hideMark/>
          </w:tcPr>
          <w:p w14:paraId="1ED043C3" w14:textId="77777777" w:rsidR="00E46971" w:rsidRPr="00E46971" w:rsidRDefault="00E46971" w:rsidP="00E46971">
            <w:pPr>
              <w:widowControl/>
              <w:jc w:val="left"/>
              <w:rPr>
                <w:rFonts w:ascii="微软雅黑" w:eastAsia="微软雅黑" w:hAnsi="微软雅黑" w:cs="宋体"/>
                <w:color w:val="666666"/>
                <w:kern w:val="0"/>
                <w:sz w:val="18"/>
                <w:szCs w:val="18"/>
              </w:rPr>
            </w:pPr>
          </w:p>
        </w:tc>
        <w:tc>
          <w:tcPr>
            <w:tcW w:w="17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36C45D51"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二、三、四</w:t>
            </w:r>
          </w:p>
        </w:tc>
        <w:tc>
          <w:tcPr>
            <w:tcW w:w="14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263CBF39"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30%</w:t>
            </w:r>
          </w:p>
        </w:tc>
      </w:tr>
      <w:tr w:rsidR="00E46971" w:rsidRPr="00E46971" w14:paraId="2938F883" w14:textId="77777777" w:rsidTr="00E46971">
        <w:tc>
          <w:tcPr>
            <w:tcW w:w="0" w:type="auto"/>
            <w:vMerge/>
            <w:tcBorders>
              <w:top w:val="nil"/>
              <w:left w:val="single" w:sz="6" w:space="0" w:color="auto"/>
              <w:bottom w:val="single" w:sz="6" w:space="0" w:color="auto"/>
              <w:right w:val="single" w:sz="6" w:space="0" w:color="auto"/>
            </w:tcBorders>
            <w:shd w:val="clear" w:color="auto" w:fill="FFFFFF"/>
            <w:vAlign w:val="center"/>
            <w:hideMark/>
          </w:tcPr>
          <w:p w14:paraId="7CCD8A8A" w14:textId="77777777" w:rsidR="00E46971" w:rsidRPr="00E46971" w:rsidRDefault="00E46971" w:rsidP="00E46971">
            <w:pPr>
              <w:widowControl/>
              <w:jc w:val="left"/>
              <w:rPr>
                <w:rFonts w:ascii="微软雅黑" w:eastAsia="微软雅黑" w:hAnsi="微软雅黑" w:cs="宋体"/>
                <w:color w:val="666666"/>
                <w:kern w:val="0"/>
                <w:sz w:val="18"/>
                <w:szCs w:val="18"/>
              </w:rPr>
            </w:pPr>
          </w:p>
        </w:tc>
        <w:tc>
          <w:tcPr>
            <w:tcW w:w="108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7448C7DE"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二等</w:t>
            </w:r>
          </w:p>
        </w:tc>
        <w:tc>
          <w:tcPr>
            <w:tcW w:w="26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272873AE"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5000</w:t>
            </w:r>
          </w:p>
        </w:tc>
        <w:tc>
          <w:tcPr>
            <w:tcW w:w="17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55EAA091"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二、三、四</w:t>
            </w:r>
          </w:p>
        </w:tc>
        <w:tc>
          <w:tcPr>
            <w:tcW w:w="145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14:paraId="251ECA05" w14:textId="77777777" w:rsidR="00E46971" w:rsidRPr="00E46971" w:rsidRDefault="00E46971" w:rsidP="00E46971">
            <w:pPr>
              <w:widowControl/>
              <w:spacing w:line="270" w:lineRule="atLeast"/>
              <w:jc w:val="center"/>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70%</w:t>
            </w:r>
          </w:p>
        </w:tc>
      </w:tr>
    </w:tbl>
    <w:p w14:paraId="09A27323"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Calibri" w:eastAsia="楷体" w:hAnsi="Calibri" w:cs="Calibri"/>
          <w:color w:val="666666"/>
          <w:kern w:val="0"/>
          <w:sz w:val="32"/>
          <w:szCs w:val="32"/>
        </w:rPr>
        <w:t> </w:t>
      </w:r>
    </w:p>
    <w:p w14:paraId="3827CC5F"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分配名额见附件2。</w:t>
      </w:r>
    </w:p>
    <w:p w14:paraId="69D83D5D"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研究生不可以同时获得研究生国家奖学金和研究生学业奖学金。</w:t>
      </w:r>
    </w:p>
    <w:p w14:paraId="27B7055C" w14:textId="77777777" w:rsidR="00E46971" w:rsidRPr="00E46971" w:rsidRDefault="00E46971" w:rsidP="00E46971">
      <w:pPr>
        <w:widowControl/>
        <w:shd w:val="clear" w:color="auto" w:fill="FFFFFF"/>
        <w:spacing w:line="270" w:lineRule="atLeast"/>
        <w:ind w:firstLine="645"/>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（四）评选程序</w:t>
      </w:r>
    </w:p>
    <w:p w14:paraId="33555577"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1.个人申报。申请人需将《青岛农业大学研究生学业奖学金申请审批表》（附件1）提交申报学院。</w:t>
      </w:r>
    </w:p>
    <w:p w14:paraId="6BBC952A"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2.学院组织评审。由一级学科/专业学位类别（领域/方向）所属学院成立研究生学业奖学金评审委员会，按分配的等级名额组织评审。</w:t>
      </w:r>
    </w:p>
    <w:p w14:paraId="3CB34B6B"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3.学院评审结果公示及上报。学院应将评审结果在学院范围内公示3个工作日，无异议后把评审情况、公示和监督情况报研究生处。</w:t>
      </w:r>
    </w:p>
    <w:p w14:paraId="456115B9"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lastRenderedPageBreak/>
        <w:t>4.学校审核公示。学校对学校评审结果审核后，在全校范围内对</w:t>
      </w:r>
      <w:proofErr w:type="gramStart"/>
      <w:r w:rsidRPr="00E46971">
        <w:rPr>
          <w:rFonts w:ascii="仿宋_GB2312" w:eastAsia="仿宋_GB2312" w:hAnsi="微软雅黑" w:cs="宋体" w:hint="eastAsia"/>
          <w:color w:val="666666"/>
          <w:kern w:val="0"/>
          <w:sz w:val="32"/>
          <w:szCs w:val="32"/>
        </w:rPr>
        <w:t>拟获得</w:t>
      </w:r>
      <w:proofErr w:type="gramEnd"/>
      <w:r w:rsidRPr="00E46971">
        <w:rPr>
          <w:rFonts w:ascii="仿宋_GB2312" w:eastAsia="仿宋_GB2312" w:hAnsi="微软雅黑" w:cs="宋体" w:hint="eastAsia"/>
          <w:color w:val="666666"/>
          <w:kern w:val="0"/>
          <w:sz w:val="32"/>
          <w:szCs w:val="32"/>
        </w:rPr>
        <w:t>研究生学业奖学金名单公示5个工作日，公示无异议后公布并上报山东省学生资助管理中心备案。</w:t>
      </w:r>
    </w:p>
    <w:p w14:paraId="388B297B"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楷体" w:eastAsia="楷体" w:hAnsi="楷体" w:cs="宋体" w:hint="eastAsia"/>
          <w:color w:val="666666"/>
          <w:kern w:val="0"/>
          <w:sz w:val="32"/>
          <w:szCs w:val="32"/>
        </w:rPr>
        <w:t>（五）材料报送</w:t>
      </w:r>
    </w:p>
    <w:p w14:paraId="4DC33444"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学院应于11月2日前将评审材料上报研究生处（办公楼801室），评审材料包括：</w:t>
      </w:r>
    </w:p>
    <w:p w14:paraId="54B8F3B6"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1.《青岛农业大学研究生学业奖学金申请审批表》，研究生个人通过研究生管理平台</w:t>
      </w:r>
      <w:proofErr w:type="gramStart"/>
      <w:r w:rsidRPr="00E46971">
        <w:rPr>
          <w:rFonts w:ascii="仿宋_GB2312" w:eastAsia="仿宋_GB2312" w:hAnsi="微软雅黑" w:cs="宋体" w:hint="eastAsia"/>
          <w:color w:val="666666"/>
          <w:kern w:val="0"/>
          <w:sz w:val="32"/>
          <w:szCs w:val="32"/>
        </w:rPr>
        <w:t>研</w:t>
      </w:r>
      <w:proofErr w:type="gramEnd"/>
      <w:r w:rsidRPr="00E46971">
        <w:rPr>
          <w:rFonts w:ascii="仿宋_GB2312" w:eastAsia="仿宋_GB2312" w:hAnsi="微软雅黑" w:cs="宋体" w:hint="eastAsia"/>
          <w:color w:val="666666"/>
          <w:kern w:val="0"/>
          <w:sz w:val="32"/>
          <w:szCs w:val="32"/>
        </w:rPr>
        <w:t>工模块申请，导师、学院审核通过，通过系统打出纸质版，签字盖章。</w:t>
      </w:r>
    </w:p>
    <w:p w14:paraId="566A733E"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2.学院通过系统导出《研究生学业奖学金获奖学生名单备案表》（附件3），纸质版1份。</w:t>
      </w:r>
    </w:p>
    <w:p w14:paraId="4CD40177" w14:textId="77777777" w:rsidR="00E46971" w:rsidRPr="00E46971" w:rsidRDefault="00E46971" w:rsidP="00E46971">
      <w:pPr>
        <w:widowControl/>
        <w:shd w:val="clear" w:color="auto" w:fill="FFFFFF"/>
        <w:spacing w:line="270" w:lineRule="atLeast"/>
        <w:ind w:firstLine="61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 </w:t>
      </w:r>
      <w:r w:rsidRPr="00E46971">
        <w:rPr>
          <w:rFonts w:ascii="黑体" w:eastAsia="黑体" w:hAnsi="黑体" w:cs="宋体" w:hint="eastAsia"/>
          <w:color w:val="666666"/>
          <w:kern w:val="0"/>
          <w:sz w:val="32"/>
          <w:szCs w:val="32"/>
        </w:rPr>
        <w:t>二、工作要求</w:t>
      </w:r>
    </w:p>
    <w:p w14:paraId="7C491A4D"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一）学院应严格按照学院研究生学业奖学金评审细则规定的评审要求成立研究生学业奖学金评审委员会，评审委员会应当由学院党政领导、导师代表、研究生辅导员、研究生代表组成，评审委员会组织评审时到会人数不得低于7人；监督人员原则上由学院纪检委员担任。</w:t>
      </w:r>
    </w:p>
    <w:p w14:paraId="1B8307A4"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（二）参评研究生学业一、二等奖学金的学院评审委员会组成人员和监督人员要采取回避制度，评审委员和监督人员不得有直系亲属或所指导研究生参评，研究生代表</w:t>
      </w:r>
      <w:r w:rsidRPr="00E46971">
        <w:rPr>
          <w:rFonts w:ascii="仿宋_GB2312" w:eastAsia="仿宋_GB2312" w:hAnsi="微软雅黑" w:cs="宋体" w:hint="eastAsia"/>
          <w:color w:val="666666"/>
          <w:kern w:val="0"/>
          <w:sz w:val="32"/>
          <w:szCs w:val="32"/>
        </w:rPr>
        <w:lastRenderedPageBreak/>
        <w:t>不得有其同一个导师（含导师配偶）指导的同门研究生参评。</w:t>
      </w:r>
    </w:p>
    <w:p w14:paraId="0CC8E83C"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（三）学院评审委员会组织研究生学业奖学金的申报和评审。学院应当把在研究生处备案的学业奖学金评审细则在学院网站公布，评审细则不得临时修改，要把奖学金的申报通知到每一位研究生。</w:t>
      </w:r>
    </w:p>
    <w:p w14:paraId="12820E7B" w14:textId="77777777" w:rsidR="00E46971" w:rsidRPr="00E46971" w:rsidRDefault="00E46971" w:rsidP="00E46971">
      <w:pPr>
        <w:widowControl/>
        <w:shd w:val="clear" w:color="auto" w:fill="FFFFFF"/>
        <w:spacing w:line="270" w:lineRule="atLeast"/>
        <w:ind w:firstLine="64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评审时原则上要安排学院纪检委员作为监督员进行评审过程监督，评审结束后，监督员要将评审监督情况报研究生处。</w:t>
      </w:r>
    </w:p>
    <w:p w14:paraId="22723F81" w14:textId="77777777" w:rsidR="00E46971" w:rsidRPr="00E46971" w:rsidRDefault="00E46971" w:rsidP="00E46971">
      <w:pPr>
        <w:widowControl/>
        <w:shd w:val="clear" w:color="auto" w:fill="FFFFFF"/>
        <w:spacing w:line="270" w:lineRule="atLeast"/>
        <w:ind w:firstLine="705"/>
        <w:jc w:val="left"/>
        <w:rPr>
          <w:rFonts w:ascii="微软雅黑" w:eastAsia="微软雅黑" w:hAnsi="微软雅黑" w:cs="宋体" w:hint="eastAsia"/>
          <w:color w:val="666666"/>
          <w:kern w:val="0"/>
          <w:sz w:val="18"/>
          <w:szCs w:val="18"/>
        </w:rPr>
      </w:pPr>
      <w:r w:rsidRPr="00E46971">
        <w:rPr>
          <w:rFonts w:ascii="仿宋_GB2312" w:eastAsia="仿宋_GB2312" w:hAnsi="微软雅黑" w:cs="宋体" w:hint="eastAsia"/>
          <w:color w:val="666666"/>
          <w:kern w:val="0"/>
          <w:sz w:val="32"/>
          <w:szCs w:val="32"/>
        </w:rPr>
        <w:t>（四）学院应广泛宣传、积极发动，将研究生学业奖学金评选的精神全部传达给所有研究生及导师，评审应坚持公开、公平、公正、择优的原则，充分发挥奖学金对研究生创新的激励作用。</w:t>
      </w:r>
    </w:p>
    <w:p w14:paraId="08770955" w14:textId="77777777" w:rsidR="00AC75C7" w:rsidRPr="00E46971" w:rsidRDefault="00AC75C7"/>
    <w:sectPr w:rsidR="00AC75C7" w:rsidRPr="00E469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5C7"/>
    <w:rsid w:val="00AC75C7"/>
    <w:rsid w:val="00E4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8983C4-E435-413E-9460-3D555EB5C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4697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37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丁占帅</dc:creator>
  <cp:keywords/>
  <dc:description/>
  <cp:lastModifiedBy>丁占帅</cp:lastModifiedBy>
  <cp:revision>2</cp:revision>
  <dcterms:created xsi:type="dcterms:W3CDTF">2022-10-21T00:30:00Z</dcterms:created>
  <dcterms:modified xsi:type="dcterms:W3CDTF">2022-10-21T00:30:00Z</dcterms:modified>
</cp:coreProperties>
</file>